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附件2：</w:t>
      </w:r>
    </w:p>
    <w:p>
      <w:pPr>
        <w:pStyle w:val="2"/>
        <w:spacing w:before="0" w:beforeAutospacing="0" w:after="0" w:afterAutospacing="0"/>
        <w:jc w:val="center"/>
        <w:rPr>
          <w:rFonts w:hint="eastAsia" w:ascii="仿宋" w:hAnsi="仿宋" w:eastAsia="仿宋" w:cs="Times New Roman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kern w:val="2"/>
          <w:sz w:val="36"/>
          <w:szCs w:val="36"/>
        </w:rPr>
        <w:t>PPD问询常见禁忌症</w:t>
      </w:r>
    </w:p>
    <w:p>
      <w:pPr>
        <w:pStyle w:val="2"/>
        <w:spacing w:before="312" w:beforeLines="10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1、</w:t>
      </w:r>
      <w:r>
        <w:rPr>
          <w:rFonts w:ascii="仿宋" w:hAnsi="仿宋" w:eastAsia="仿宋" w:cs="Times New Roman"/>
          <w:kern w:val="2"/>
          <w:sz w:val="28"/>
          <w:szCs w:val="28"/>
        </w:rPr>
        <w:t>过敏体质（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过敏或变态反应史）</w:t>
      </w:r>
    </w:p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2、免疫系统疾病（防御机制不健全）</w:t>
      </w:r>
    </w:p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3、发热、个体状态差（虚弱、腹泻等）</w:t>
      </w:r>
    </w:p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4、各种传染病及恢复期</w:t>
      </w:r>
      <w:r>
        <w:rPr>
          <w:rFonts w:ascii="仿宋" w:hAnsi="仿宋" w:eastAsia="仿宋" w:cs="Times New Roman"/>
          <w:kern w:val="2"/>
          <w:sz w:val="28"/>
          <w:szCs w:val="28"/>
        </w:rPr>
        <w:t>（如麻疹、百日咳、流行性感冒、新冠病毒感染等）</w:t>
      </w:r>
    </w:p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5、神经及精神不正常</w:t>
      </w:r>
    </w:p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6、疫苗接种史（如狂犬、水痘接种不到2周者，腺病毒疫苗不到4周者）</w:t>
      </w:r>
    </w:p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7、局部或全身性皮肤病</w:t>
      </w:r>
    </w:p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8、器质性疾病急性期（</w:t>
      </w:r>
      <w:r>
        <w:rPr>
          <w:rFonts w:ascii="仿宋" w:hAnsi="仿宋" w:eastAsia="仿宋" w:cs="Times New Roman"/>
          <w:kern w:val="2"/>
          <w:sz w:val="28"/>
          <w:szCs w:val="28"/>
        </w:rPr>
        <w:t>急性眼结膜炎、急性中耳炎等）</w:t>
      </w:r>
    </w:p>
    <w:p>
      <w:pPr>
        <w:pStyle w:val="2"/>
        <w:spacing w:before="0" w:beforeAutospacing="0" w:after="0" w:afterAutospacing="0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9、空腹者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10、</w:t>
      </w:r>
      <w:r>
        <w:rPr>
          <w:rFonts w:ascii="仿宋" w:hAnsi="仿宋" w:eastAsia="仿宋"/>
          <w:sz w:val="28"/>
          <w:szCs w:val="28"/>
        </w:rPr>
        <w:t>医生判定暂不适合进行结核潜伏感染检测的其他情况者，不宜进行（如出院未满</w:t>
      </w:r>
      <w:r>
        <w:rPr>
          <w:rFonts w:hint="eastAsia" w:ascii="仿宋" w:hAnsi="仿宋" w:eastAsia="仿宋"/>
          <w:sz w:val="28"/>
          <w:szCs w:val="28"/>
        </w:rPr>
        <w:t>1月、大型手术未满3月等）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02A8B"/>
    <w:rsid w:val="77E0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2025-10-11T07:10:00Z</dcterms:created>
  <dc:creator>刘婷</dc:creator>
  <cp:lastModifiedBy>刘婷</cp:lastModifiedBy>
  <dcterms:modified xsi:type="dcterms:W3CDTF">2025-10-11T07:10:13Z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